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A0" w:rsidRDefault="003D1EA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3D1EA0" w:rsidRDefault="003D1EA0">
      <w:pPr>
        <w:widowControl w:val="0"/>
        <w:autoSpaceDE w:val="0"/>
        <w:autoSpaceDN w:val="0"/>
        <w:adjustRightInd w:val="0"/>
        <w:spacing w:after="0" w:line="240" w:lineRule="auto"/>
        <w:ind w:firstLine="540"/>
        <w:jc w:val="both"/>
        <w:outlineLvl w:val="0"/>
        <w:rPr>
          <w:rFonts w:ascii="Calibri" w:hAnsi="Calibri" w:cs="Calibri"/>
        </w:rPr>
      </w:pP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В течение пяти дней </w:t>
      </w:r>
      <w:proofErr w:type="gramStart"/>
      <w:r>
        <w:rPr>
          <w:rFonts w:ascii="Calibri" w:hAnsi="Calibri" w:cs="Calibri"/>
        </w:rPr>
        <w:t>с даты размещения</w:t>
      </w:r>
      <w:proofErr w:type="gramEnd"/>
      <w:r>
        <w:rPr>
          <w:rFonts w:ascii="Calibri" w:hAnsi="Calibri" w:cs="Calibri"/>
        </w:rPr>
        <w:t xml:space="preserve"> заказчиком (органом местного самоуправления) на официальном сайте проекта контракта на выполнение строительно-монтажных работ организация - победитель электронного аукциона разместила на официальном сайте подписанный проект контракта и банковскую гарантию, подтверждающую предоставление обеспечения исполнения контракта. </w:t>
      </w:r>
      <w:proofErr w:type="gramStart"/>
      <w:r>
        <w:rPr>
          <w:rFonts w:ascii="Calibri" w:hAnsi="Calibri" w:cs="Calibri"/>
        </w:rPr>
        <w:t>Вправе ли заказчик признать организацию уклонившейся от заключения контракта в случае, если срок банковской гарантии на два дня меньше одного месяца с даты окончания работ и их оплаты, предусмотренной контрактом (контрактом также предусмотрено право сторон выполнить свои обязательства по сдаче работ и их оплате досрочно, а срок действия контракта установлен до исполнения сторонами всех обязательств)?</w:t>
      </w:r>
      <w:proofErr w:type="gramEnd"/>
    </w:p>
    <w:p w:rsidR="003D1EA0" w:rsidRDefault="003D1EA0">
      <w:pPr>
        <w:widowControl w:val="0"/>
        <w:autoSpaceDE w:val="0"/>
        <w:autoSpaceDN w:val="0"/>
        <w:adjustRightInd w:val="0"/>
        <w:spacing w:after="0" w:line="240" w:lineRule="auto"/>
        <w:ind w:firstLine="540"/>
        <w:jc w:val="both"/>
        <w:rPr>
          <w:rFonts w:ascii="Calibri" w:hAnsi="Calibri" w:cs="Calibri"/>
        </w:rPr>
      </w:pP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По нашему мнению, так как в рассматриваемом случае условиями обязательства предусмотрена возможность его досрочного исполнения, заказчик не вправе признать организацию уклонившейся от заключения контракта в случае, если срок банковской гарантии на два дня меньше одного месяца </w:t>
      </w:r>
      <w:proofErr w:type="gramStart"/>
      <w:r>
        <w:rPr>
          <w:rFonts w:ascii="Calibri" w:hAnsi="Calibri" w:cs="Calibri"/>
        </w:rPr>
        <w:t>с даты окончания</w:t>
      </w:r>
      <w:proofErr w:type="gramEnd"/>
      <w:r>
        <w:rPr>
          <w:rFonts w:ascii="Calibri" w:hAnsi="Calibri" w:cs="Calibri"/>
        </w:rPr>
        <w:t xml:space="preserve"> работ и их оплаты, предусмотренной контрактом.</w:t>
      </w:r>
    </w:p>
    <w:p w:rsidR="003D1EA0" w:rsidRDefault="003D1EA0">
      <w:pPr>
        <w:widowControl w:val="0"/>
        <w:autoSpaceDE w:val="0"/>
        <w:autoSpaceDN w:val="0"/>
        <w:adjustRightInd w:val="0"/>
        <w:spacing w:after="0" w:line="240" w:lineRule="auto"/>
        <w:ind w:firstLine="540"/>
        <w:jc w:val="both"/>
        <w:rPr>
          <w:rFonts w:ascii="Calibri" w:hAnsi="Calibri" w:cs="Calibri"/>
        </w:rPr>
      </w:pP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В соответствии с </w:t>
      </w:r>
      <w:hyperlink r:id="rId6" w:history="1">
        <w:r>
          <w:rPr>
            <w:rFonts w:ascii="Calibri" w:hAnsi="Calibri" w:cs="Calibri"/>
            <w:color w:val="0000FF"/>
          </w:rPr>
          <w:t>ч. 1 ст. 70</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по результатам электронного аукциона контракт заключается с победителем такого аукциона.</w:t>
      </w:r>
    </w:p>
    <w:p w:rsidR="003D1EA0" w:rsidRDefault="003D1E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7" w:history="1">
        <w:r>
          <w:rPr>
            <w:rFonts w:ascii="Calibri" w:hAnsi="Calibri" w:cs="Calibri"/>
            <w:color w:val="0000FF"/>
          </w:rPr>
          <w:t>ч. 3 указанной статьи</w:t>
        </w:r>
      </w:hyperlink>
      <w:r>
        <w:rPr>
          <w:rFonts w:ascii="Calibri" w:hAnsi="Calibri" w:cs="Calibri"/>
        </w:rPr>
        <w:t xml:space="preserve"> в течение пяти дней с даты размещения заказчиком в единой информационной системе (на официальном сайте - </w:t>
      </w:r>
      <w:hyperlink r:id="rId8" w:history="1">
        <w:r>
          <w:rPr>
            <w:rFonts w:ascii="Calibri" w:hAnsi="Calibri" w:cs="Calibri"/>
            <w:color w:val="0000FF"/>
          </w:rPr>
          <w:t>ч. 5 ст. 112</w:t>
        </w:r>
      </w:hyperlink>
      <w:r>
        <w:rPr>
          <w:rFonts w:ascii="Calibri" w:hAnsi="Calibri" w:cs="Calibri"/>
        </w:rPr>
        <w:t xml:space="preserve"> Закона N 44-ФЗ)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w:t>
      </w:r>
      <w:proofErr w:type="gramEnd"/>
      <w:r>
        <w:rPr>
          <w:rFonts w:ascii="Calibri" w:hAnsi="Calibri" w:cs="Calibri"/>
        </w:rPr>
        <w:t xml:space="preserve"> электронной подписью указанного лица.</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9" w:history="1">
        <w:r>
          <w:rPr>
            <w:rFonts w:ascii="Calibri" w:hAnsi="Calibri" w:cs="Calibri"/>
            <w:color w:val="0000FF"/>
          </w:rPr>
          <w:t>ч. 3 ст. 96</w:t>
        </w:r>
      </w:hyperlink>
      <w:r>
        <w:rPr>
          <w:rFonts w:ascii="Calibri" w:hAnsi="Calibri" w:cs="Calibri"/>
        </w:rPr>
        <w:t xml:space="preserve"> Закона N 44-ФЗ срок действия банковской гарантии должен превышать срок действия контракта не менее чем на один месяц.</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 w:history="1">
        <w:r>
          <w:rPr>
            <w:rFonts w:ascii="Calibri" w:hAnsi="Calibri" w:cs="Calibri"/>
            <w:color w:val="0000FF"/>
          </w:rPr>
          <w:t>ч. 4</w:t>
        </w:r>
      </w:hyperlink>
      <w:r>
        <w:rPr>
          <w:rFonts w:ascii="Calibri" w:hAnsi="Calibri" w:cs="Calibri"/>
        </w:rPr>
        <w:t xml:space="preserve">, </w:t>
      </w:r>
      <w:hyperlink r:id="rId11" w:history="1">
        <w:r>
          <w:rPr>
            <w:rFonts w:ascii="Calibri" w:hAnsi="Calibri" w:cs="Calibri"/>
            <w:color w:val="0000FF"/>
          </w:rPr>
          <w:t>5 указанной статьи</w:t>
        </w:r>
      </w:hyperlink>
      <w:r>
        <w:rPr>
          <w:rFonts w:ascii="Calibri" w:hAnsi="Calibri" w:cs="Calibri"/>
        </w:rPr>
        <w:t xml:space="preserve"> 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N 44-ФЗ.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следует из </w:t>
      </w:r>
      <w:hyperlink r:id="rId12" w:history="1">
        <w:r>
          <w:rPr>
            <w:rFonts w:ascii="Calibri" w:hAnsi="Calibri" w:cs="Calibri"/>
            <w:color w:val="0000FF"/>
          </w:rPr>
          <w:t>п. 1 ст. 708</w:t>
        </w:r>
      </w:hyperlink>
      <w:r>
        <w:rPr>
          <w:rFonts w:ascii="Calibri" w:hAnsi="Calibri" w:cs="Calibri"/>
        </w:rPr>
        <w:t xml:space="preserve"> Гражданского кодекса РФ, в договоре подряда указываются начальный и конечный сроки выполнения работы.</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3" w:history="1">
        <w:r>
          <w:rPr>
            <w:rFonts w:ascii="Calibri" w:hAnsi="Calibri" w:cs="Calibri"/>
            <w:color w:val="0000FF"/>
          </w:rPr>
          <w:t>п. 1 ст. 711</w:t>
        </w:r>
      </w:hyperlink>
      <w:r>
        <w:rPr>
          <w:rFonts w:ascii="Calibri" w:hAnsi="Calibri" w:cs="Calibri"/>
        </w:rPr>
        <w:t xml:space="preserve"> ГК РФ,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4" w:history="1">
        <w:r>
          <w:rPr>
            <w:rFonts w:ascii="Calibri" w:hAnsi="Calibri" w:cs="Calibri"/>
            <w:color w:val="0000FF"/>
          </w:rPr>
          <w:t>ст. 315</w:t>
        </w:r>
      </w:hyperlink>
      <w:r>
        <w:rPr>
          <w:rFonts w:ascii="Calibri" w:hAnsi="Calibri" w:cs="Calibri"/>
        </w:rPr>
        <w:t xml:space="preserve"> ГК РФ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делового оборота или существа обязательства.</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УФАС по Алтайскому краю в </w:t>
      </w:r>
      <w:hyperlink r:id="rId15" w:history="1">
        <w:r>
          <w:rPr>
            <w:rFonts w:ascii="Calibri" w:hAnsi="Calibri" w:cs="Calibri"/>
            <w:color w:val="0000FF"/>
          </w:rPr>
          <w:t>Решении</w:t>
        </w:r>
      </w:hyperlink>
      <w:r>
        <w:rPr>
          <w:rFonts w:ascii="Calibri" w:hAnsi="Calibri" w:cs="Calibri"/>
        </w:rPr>
        <w:t xml:space="preserve"> от 14.05.2014 по делу N 212/14, рассматривая аналогичную ситуацию, отметило: руководствуясь принципом добросовестности и разумности (</w:t>
      </w:r>
      <w:hyperlink r:id="rId16" w:history="1">
        <w:r>
          <w:rPr>
            <w:rFonts w:ascii="Calibri" w:hAnsi="Calibri" w:cs="Calibri"/>
            <w:color w:val="0000FF"/>
          </w:rPr>
          <w:t>п. 5 ст. 10</w:t>
        </w:r>
      </w:hyperlink>
      <w:r>
        <w:rPr>
          <w:rFonts w:ascii="Calibri" w:hAnsi="Calibri" w:cs="Calibri"/>
        </w:rPr>
        <w:t xml:space="preserve"> ГК РФ), участник закупки, исходя из собственных возможностей, предполагал приступить к выполнению работ и закончить их досрочно, в </w:t>
      </w:r>
      <w:proofErr w:type="gramStart"/>
      <w:r>
        <w:rPr>
          <w:rFonts w:ascii="Calibri" w:hAnsi="Calibri" w:cs="Calibri"/>
        </w:rPr>
        <w:t>связи</w:t>
      </w:r>
      <w:proofErr w:type="gramEnd"/>
      <w:r>
        <w:rPr>
          <w:rFonts w:ascii="Calibri" w:hAnsi="Calibri" w:cs="Calibri"/>
        </w:rPr>
        <w:t xml:space="preserve"> с чем представил банковскую гарантию, срок действия которой превышал предполагаемый им срок действия контракта не менее чем на один месяц. Следовательно, признать данного участника уклонившимся от заключения контракта не представляется возможным.</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Из указанного </w:t>
      </w:r>
      <w:hyperlink r:id="rId17" w:history="1">
        <w:r>
          <w:rPr>
            <w:rFonts w:ascii="Calibri" w:hAnsi="Calibri" w:cs="Calibri"/>
            <w:color w:val="0000FF"/>
          </w:rPr>
          <w:t>Решения</w:t>
        </w:r>
      </w:hyperlink>
      <w:r>
        <w:rPr>
          <w:rFonts w:ascii="Calibri" w:hAnsi="Calibri" w:cs="Calibri"/>
        </w:rPr>
        <w:t xml:space="preserve"> УФАС также следует, что </w:t>
      </w:r>
      <w:hyperlink r:id="rId18" w:history="1">
        <w:r>
          <w:rPr>
            <w:rFonts w:ascii="Calibri" w:hAnsi="Calibri" w:cs="Calibri"/>
            <w:color w:val="0000FF"/>
          </w:rPr>
          <w:t>Законом</w:t>
        </w:r>
      </w:hyperlink>
      <w:r>
        <w:rPr>
          <w:rFonts w:ascii="Calibri" w:hAnsi="Calibri" w:cs="Calibri"/>
        </w:rPr>
        <w:t xml:space="preserve"> N 44-ФЗ не установлены правила установления сроков - заказчик устанавливает срок, исходя из своих потребностей. Если никаких правил и ограничений не установлено, при определении срока целесообразно руководствоваться принципом разумности. В данном случае определить, в течение какого времени будут выполнены работы, не представляется возможным.</w:t>
      </w:r>
    </w:p>
    <w:p w:rsidR="003D1EA0" w:rsidRDefault="003D1E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по нашему мнению, так как в рассматриваемом случае условиями обязательства предусмотрена возможность его досрочного исполнения, заказчик не вправе признать организацию уклонившейся от заключения контракта в случае, если срок банковской гарантии на два дня меньше одного месяца </w:t>
      </w:r>
      <w:proofErr w:type="gramStart"/>
      <w:r>
        <w:rPr>
          <w:rFonts w:ascii="Calibri" w:hAnsi="Calibri" w:cs="Calibri"/>
        </w:rPr>
        <w:t>с даты окончания</w:t>
      </w:r>
      <w:proofErr w:type="gramEnd"/>
      <w:r>
        <w:rPr>
          <w:rFonts w:ascii="Calibri" w:hAnsi="Calibri" w:cs="Calibri"/>
        </w:rPr>
        <w:t xml:space="preserve"> работ и их оплаты, предусмотренной контрактом.</w:t>
      </w:r>
    </w:p>
    <w:p w:rsidR="003D1EA0" w:rsidRDefault="003D1EA0">
      <w:pPr>
        <w:widowControl w:val="0"/>
        <w:autoSpaceDE w:val="0"/>
        <w:autoSpaceDN w:val="0"/>
        <w:adjustRightInd w:val="0"/>
        <w:spacing w:after="0" w:line="240" w:lineRule="auto"/>
        <w:jc w:val="both"/>
        <w:rPr>
          <w:rFonts w:ascii="Calibri" w:hAnsi="Calibri" w:cs="Calibri"/>
        </w:rPr>
      </w:pPr>
    </w:p>
    <w:p w:rsidR="003D1EA0" w:rsidRDefault="003D1EA0">
      <w:pPr>
        <w:widowControl w:val="0"/>
        <w:autoSpaceDE w:val="0"/>
        <w:autoSpaceDN w:val="0"/>
        <w:adjustRightInd w:val="0"/>
        <w:spacing w:after="0" w:line="240" w:lineRule="auto"/>
        <w:jc w:val="right"/>
        <w:rPr>
          <w:rFonts w:ascii="Calibri" w:hAnsi="Calibri" w:cs="Calibri"/>
        </w:rPr>
      </w:pPr>
      <w:r>
        <w:rPr>
          <w:rFonts w:ascii="Calibri" w:hAnsi="Calibri" w:cs="Calibri"/>
        </w:rPr>
        <w:t>П.С.Долгополов</w:t>
      </w:r>
    </w:p>
    <w:p w:rsidR="003D1EA0" w:rsidRDefault="003D1EA0">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3D1EA0" w:rsidRDefault="003D1EA0">
      <w:pPr>
        <w:widowControl w:val="0"/>
        <w:autoSpaceDE w:val="0"/>
        <w:autoSpaceDN w:val="0"/>
        <w:adjustRightInd w:val="0"/>
        <w:spacing w:after="0" w:line="240" w:lineRule="auto"/>
        <w:rPr>
          <w:rFonts w:ascii="Calibri" w:hAnsi="Calibri" w:cs="Calibri"/>
        </w:rPr>
      </w:pPr>
      <w:r>
        <w:rPr>
          <w:rFonts w:ascii="Calibri" w:hAnsi="Calibri" w:cs="Calibri"/>
        </w:rPr>
        <w:t>10.10.2014</w:t>
      </w:r>
    </w:p>
    <w:p w:rsidR="003D1EA0" w:rsidRDefault="003D1EA0">
      <w:pPr>
        <w:widowControl w:val="0"/>
        <w:autoSpaceDE w:val="0"/>
        <w:autoSpaceDN w:val="0"/>
        <w:adjustRightInd w:val="0"/>
        <w:spacing w:after="0" w:line="240" w:lineRule="auto"/>
        <w:ind w:firstLine="540"/>
        <w:jc w:val="both"/>
        <w:rPr>
          <w:rFonts w:ascii="Calibri" w:hAnsi="Calibri" w:cs="Calibri"/>
        </w:rPr>
      </w:pPr>
    </w:p>
    <w:p w:rsidR="003D1EA0" w:rsidRDefault="003D1EA0">
      <w:pPr>
        <w:widowControl w:val="0"/>
        <w:autoSpaceDE w:val="0"/>
        <w:autoSpaceDN w:val="0"/>
        <w:adjustRightInd w:val="0"/>
        <w:spacing w:after="0" w:line="240" w:lineRule="auto"/>
        <w:ind w:firstLine="540"/>
        <w:jc w:val="both"/>
        <w:rPr>
          <w:rFonts w:ascii="Calibri" w:hAnsi="Calibri" w:cs="Calibri"/>
        </w:rPr>
      </w:pPr>
    </w:p>
    <w:p w:rsidR="003D1EA0" w:rsidRDefault="003D1EA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93273" w:rsidRDefault="00093273">
      <w:bookmarkStart w:id="0" w:name="_GoBack"/>
      <w:bookmarkEnd w:id="0"/>
    </w:p>
    <w:sectPr w:rsidR="00093273" w:rsidSect="00B16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A0"/>
    <w:rsid w:val="00093273"/>
    <w:rsid w:val="003D1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EB1C9BBB3406CBE705E9CF3B04AF31CBCF1CA497E8067AE5EC9ED3C5ED2C321C56155338B4DE42LEE0N" TargetMode="External"/><Relationship Id="rId13" Type="http://schemas.openxmlformats.org/officeDocument/2006/relationships/hyperlink" Target="consultantplus://offline/ref=24EB1C9BBB3406CBE705E9CF3B04AF31CBCF19AC92ED067AE5EC9ED3C5ED2C321C56155338B4D647LEE5N" TargetMode="External"/><Relationship Id="rId18" Type="http://schemas.openxmlformats.org/officeDocument/2006/relationships/hyperlink" Target="consultantplus://offline/ref=24EB1C9BBB3406CBE705E9CF3B04AF31CBCF1CA497E8067AE5EC9ED3C5LEEDN" TargetMode="External"/><Relationship Id="rId3" Type="http://schemas.openxmlformats.org/officeDocument/2006/relationships/settings" Target="settings.xml"/><Relationship Id="rId7" Type="http://schemas.openxmlformats.org/officeDocument/2006/relationships/hyperlink" Target="consultantplus://offline/ref=24EB1C9BBB3406CBE705E9CF3B04AF31CBCF1CA497E8067AE5EC9ED3C5ED2C321C56155338B5DF45LEE1N" TargetMode="External"/><Relationship Id="rId12" Type="http://schemas.openxmlformats.org/officeDocument/2006/relationships/hyperlink" Target="consultantplus://offline/ref=24EB1C9BBB3406CBE705E9CF3B04AF31CBCF19AC92ED067AE5EC9ED3C5ED2C321C56155338B4D645LEEBN" TargetMode="External"/><Relationship Id="rId17" Type="http://schemas.openxmlformats.org/officeDocument/2006/relationships/hyperlink" Target="consultantplus://offline/ref=24EB1C9BBB3406CBE705F7C93F6CFA62C7C811A499EC067AE5EC9ED3C5ED2C321C56155338B5D643LEE1N" TargetMode="External"/><Relationship Id="rId2" Type="http://schemas.microsoft.com/office/2007/relationships/stylesWithEffects" Target="stylesWithEffects.xml"/><Relationship Id="rId16" Type="http://schemas.openxmlformats.org/officeDocument/2006/relationships/hyperlink" Target="consultantplus://offline/ref=24EB1C9BBB3406CBE705E9CF3B04AF31CBCF1BAA94E8067AE5EC9ED3C5ED2C321C5615503ELBE3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4EB1C9BBB3406CBE705E9CF3B04AF31CBCF1CA497E8067AE5EC9ED3C5ED2C321C56155338B5DF45LEE3N" TargetMode="External"/><Relationship Id="rId11" Type="http://schemas.openxmlformats.org/officeDocument/2006/relationships/hyperlink" Target="consultantplus://offline/ref=24EB1C9BBB3406CBE705E9CF3B04AF31CBCF1CA497E8067AE5EC9ED3C5ED2C321C56155338B4D545LEEB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24EB1C9BBB3406CBE705F7C93F6CFA62C7C811A499EC067AE5EC9ED3C5ED2C321C56155338B5D640LEE6N" TargetMode="External"/><Relationship Id="rId10" Type="http://schemas.openxmlformats.org/officeDocument/2006/relationships/hyperlink" Target="consultantplus://offline/ref=24EB1C9BBB3406CBE705E9CF3B04AF31CBCF1CA497E8067AE5EC9ED3C5ED2C321C56155338B4D545LEE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4EB1C9BBB3406CBE705E9CF3B04AF31CBCF1CA497E8067AE5EC9ED3C5ED2C321C56155338B4D545LEE5N" TargetMode="External"/><Relationship Id="rId14" Type="http://schemas.openxmlformats.org/officeDocument/2006/relationships/hyperlink" Target="consultantplus://offline/ref=24EB1C9BBB3406CBE705E9CF3B04AF31CBCF1BAA94E8067AE5EC9ED3C5ED2C321C56155338B4D344LEE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2014-12-17T13:04:00Z</dcterms:created>
  <dcterms:modified xsi:type="dcterms:W3CDTF">2014-12-17T13:04:00Z</dcterms:modified>
</cp:coreProperties>
</file>